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1A5A36D9"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2B6492F9" w:rsidR="00C77739" w:rsidRPr="001F5578" w:rsidRDefault="00C77739" w:rsidP="00C77739">
      <w:pPr>
        <w:jc w:val="center"/>
        <w:rPr>
          <w:rFonts w:ascii="Arial" w:hAnsi="Arial" w:cs="Arial"/>
          <w:b/>
        </w:rPr>
      </w:pPr>
      <w:r w:rsidRPr="001F5578">
        <w:rPr>
          <w:rFonts w:ascii="Arial" w:hAnsi="Arial" w:cs="Arial"/>
          <w:b/>
        </w:rPr>
        <w:t>LICITACIÓN PÚBLICA LP-SC-00</w:t>
      </w:r>
      <w:r w:rsidR="00B20006">
        <w:rPr>
          <w:rFonts w:ascii="Arial" w:hAnsi="Arial" w:cs="Arial"/>
          <w:b/>
        </w:rPr>
        <w:t>8</w:t>
      </w:r>
      <w:r w:rsidRPr="001F5578">
        <w:rPr>
          <w:rFonts w:ascii="Arial" w:hAnsi="Arial" w:cs="Arial"/>
          <w:b/>
        </w:rPr>
        <w:t>-2018</w:t>
      </w:r>
    </w:p>
    <w:p w14:paraId="4ACDAB49" w14:textId="41DFB000" w:rsidR="00C77739" w:rsidRPr="001F5578" w:rsidRDefault="00C77739" w:rsidP="00C77739">
      <w:pPr>
        <w:jc w:val="center"/>
        <w:rPr>
          <w:rFonts w:ascii="Arial" w:hAnsi="Arial" w:cs="Arial"/>
          <w:b/>
        </w:rPr>
      </w:pPr>
      <w:r w:rsidRPr="001F5578">
        <w:rPr>
          <w:rFonts w:ascii="Arial" w:hAnsi="Arial" w:cs="Arial"/>
          <w:b/>
        </w:rPr>
        <w:t>“</w:t>
      </w:r>
      <w:r w:rsidR="00B20006">
        <w:rPr>
          <w:rFonts w:ascii="Arial" w:hAnsi="Arial" w:cs="Arial"/>
          <w:b/>
        </w:rPr>
        <w:t>Adquisición de artículos de papelería</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37FB6E7"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SC-00</w:t>
      </w:r>
      <w:r w:rsidR="00B20006">
        <w:rPr>
          <w:rFonts w:ascii="Arial" w:hAnsi="Arial" w:cs="Arial"/>
        </w:rPr>
        <w:t>8</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5"/>
        <w:gridCol w:w="2357"/>
        <w:gridCol w:w="2104"/>
        <w:gridCol w:w="2419"/>
      </w:tblGrid>
      <w:tr w:rsidR="00715F44" w:rsidRPr="00BF1CB4" w14:paraId="154CB769" w14:textId="1C227692" w:rsidTr="00715F44">
        <w:trPr>
          <w:trHeight w:val="294"/>
          <w:jc w:val="center"/>
        </w:trPr>
        <w:tc>
          <w:tcPr>
            <w:tcW w:w="1655" w:type="dxa"/>
            <w:shd w:val="clear" w:color="auto" w:fill="BFBFBF" w:themeFill="background1" w:themeFillShade="BF"/>
            <w:noWrap/>
            <w:vAlign w:val="center"/>
            <w:hideMark/>
          </w:tcPr>
          <w:p w14:paraId="00F01A1D" w14:textId="77777777" w:rsidR="00715F44" w:rsidRPr="00DB1107" w:rsidRDefault="00715F44" w:rsidP="0045652A">
            <w:pPr>
              <w:jc w:val="center"/>
              <w:rPr>
                <w:rFonts w:ascii="Arial" w:hAnsi="Arial" w:cs="Arial"/>
                <w:b/>
                <w:bCs/>
                <w:color w:val="000000"/>
                <w:sz w:val="20"/>
                <w:szCs w:val="20"/>
                <w:lang w:val="es-MX" w:eastAsia="es-MX"/>
              </w:rPr>
            </w:pPr>
            <w:r w:rsidRPr="00DB1107">
              <w:rPr>
                <w:rFonts w:ascii="Arial" w:hAnsi="Arial" w:cs="Arial"/>
                <w:b/>
                <w:bCs/>
                <w:color w:val="000000"/>
                <w:sz w:val="20"/>
                <w:szCs w:val="20"/>
                <w:lang w:val="es-MX" w:eastAsia="es-MX"/>
              </w:rPr>
              <w:t>PARTIDA</w:t>
            </w:r>
          </w:p>
        </w:tc>
        <w:tc>
          <w:tcPr>
            <w:tcW w:w="2357" w:type="dxa"/>
            <w:shd w:val="clear" w:color="auto" w:fill="BFBFBF" w:themeFill="background1" w:themeFillShade="BF"/>
            <w:noWrap/>
            <w:vAlign w:val="center"/>
            <w:hideMark/>
          </w:tcPr>
          <w:p w14:paraId="16266F1A" w14:textId="77777777" w:rsidR="00715F44" w:rsidRPr="00DB1107" w:rsidRDefault="00715F44" w:rsidP="0045652A">
            <w:pPr>
              <w:jc w:val="center"/>
              <w:rPr>
                <w:rFonts w:ascii="Arial" w:hAnsi="Arial" w:cs="Arial"/>
                <w:b/>
                <w:bCs/>
                <w:color w:val="000000"/>
                <w:sz w:val="20"/>
                <w:szCs w:val="20"/>
                <w:lang w:val="es-MX" w:eastAsia="es-MX"/>
              </w:rPr>
            </w:pPr>
            <w:r w:rsidRPr="00DB1107">
              <w:rPr>
                <w:rFonts w:ascii="Arial" w:hAnsi="Arial" w:cs="Arial"/>
                <w:b/>
                <w:bCs/>
                <w:color w:val="000000"/>
                <w:sz w:val="20"/>
                <w:szCs w:val="20"/>
                <w:lang w:val="es-MX" w:eastAsia="es-MX"/>
              </w:rPr>
              <w:t>DESCRIPCIÓN</w:t>
            </w:r>
          </w:p>
        </w:tc>
        <w:tc>
          <w:tcPr>
            <w:tcW w:w="2104" w:type="dxa"/>
            <w:shd w:val="clear" w:color="auto" w:fill="BFBFBF" w:themeFill="background1" w:themeFillShade="BF"/>
            <w:vAlign w:val="center"/>
          </w:tcPr>
          <w:p w14:paraId="023062D8" w14:textId="6AF09985" w:rsidR="00715F44" w:rsidRPr="00DB1107" w:rsidRDefault="00715F44" w:rsidP="0037059C">
            <w:pPr>
              <w:jc w:val="center"/>
              <w:rPr>
                <w:rFonts w:ascii="Arial" w:hAnsi="Arial" w:cs="Arial"/>
                <w:b/>
                <w:bCs/>
                <w:color w:val="000000"/>
                <w:sz w:val="20"/>
                <w:szCs w:val="20"/>
                <w:lang w:val="es-MX" w:eastAsia="es-MX"/>
              </w:rPr>
            </w:pPr>
            <w:r w:rsidRPr="00DB1107">
              <w:rPr>
                <w:rFonts w:ascii="Arial" w:hAnsi="Arial" w:cs="Arial"/>
                <w:b/>
                <w:bCs/>
                <w:color w:val="000000"/>
                <w:sz w:val="20"/>
                <w:szCs w:val="20"/>
                <w:lang w:val="es-MX" w:eastAsia="es-MX"/>
              </w:rPr>
              <w:t>FECHA DE INICIO DE LA PRESTACIÓN DEL SERVICIO</w:t>
            </w:r>
          </w:p>
        </w:tc>
        <w:tc>
          <w:tcPr>
            <w:tcW w:w="2419" w:type="dxa"/>
            <w:shd w:val="clear" w:color="auto" w:fill="BFBFBF" w:themeFill="background1" w:themeFillShade="BF"/>
            <w:vAlign w:val="center"/>
          </w:tcPr>
          <w:p w14:paraId="16E8CBF1" w14:textId="63633689" w:rsidR="00715F44" w:rsidRPr="00DB1107" w:rsidRDefault="00715F44" w:rsidP="00287C6F">
            <w:pPr>
              <w:jc w:val="center"/>
              <w:rPr>
                <w:rFonts w:ascii="Arial" w:hAnsi="Arial" w:cs="Arial"/>
                <w:b/>
                <w:bCs/>
                <w:color w:val="000000"/>
                <w:sz w:val="20"/>
                <w:szCs w:val="20"/>
                <w:lang w:val="es-MX" w:eastAsia="es-MX"/>
              </w:rPr>
            </w:pPr>
            <w:r w:rsidRPr="00DB1107">
              <w:rPr>
                <w:rFonts w:ascii="Arial" w:hAnsi="Arial" w:cs="Arial"/>
                <w:b/>
                <w:bCs/>
                <w:color w:val="000000"/>
                <w:sz w:val="20"/>
                <w:szCs w:val="20"/>
                <w:lang w:val="es-MX" w:eastAsia="es-MX"/>
              </w:rPr>
              <w:t>ADJUDICACIÓN DE PARTIDA</w:t>
            </w:r>
          </w:p>
        </w:tc>
      </w:tr>
      <w:tr w:rsidR="00715F44" w:rsidRPr="00BF1CB4" w14:paraId="28861A8E" w14:textId="77777777" w:rsidTr="00715F44">
        <w:trPr>
          <w:trHeight w:val="1501"/>
          <w:jc w:val="center"/>
        </w:trPr>
        <w:tc>
          <w:tcPr>
            <w:tcW w:w="1655" w:type="dxa"/>
            <w:shd w:val="clear" w:color="auto" w:fill="auto"/>
            <w:noWrap/>
            <w:vAlign w:val="center"/>
          </w:tcPr>
          <w:p w14:paraId="7DF1F173" w14:textId="4C172E51" w:rsidR="00715F44" w:rsidRPr="00DB1107" w:rsidRDefault="00715F44" w:rsidP="0045652A">
            <w:pPr>
              <w:jc w:val="center"/>
              <w:rPr>
                <w:rFonts w:ascii="Arial" w:hAnsi="Arial" w:cs="Arial"/>
                <w:bCs/>
                <w:color w:val="000000"/>
                <w:sz w:val="20"/>
                <w:szCs w:val="20"/>
                <w:lang w:val="es-MX" w:eastAsia="es-MX"/>
              </w:rPr>
            </w:pPr>
            <w:r w:rsidRPr="00DB1107">
              <w:rPr>
                <w:rFonts w:ascii="Arial" w:hAnsi="Arial" w:cs="Arial"/>
                <w:bCs/>
                <w:color w:val="000000"/>
                <w:sz w:val="20"/>
                <w:szCs w:val="20"/>
                <w:lang w:val="es-MX" w:eastAsia="es-MX"/>
              </w:rPr>
              <w:t>2111</w:t>
            </w:r>
          </w:p>
        </w:tc>
        <w:tc>
          <w:tcPr>
            <w:tcW w:w="2357" w:type="dxa"/>
            <w:shd w:val="clear" w:color="auto" w:fill="auto"/>
            <w:noWrap/>
            <w:vAlign w:val="center"/>
          </w:tcPr>
          <w:p w14:paraId="45C8C84E" w14:textId="5B4E3CDB" w:rsidR="00715F44" w:rsidRPr="00DB1107" w:rsidRDefault="00715F44" w:rsidP="00E603F7">
            <w:pPr>
              <w:jc w:val="center"/>
              <w:rPr>
                <w:rFonts w:ascii="Arial" w:hAnsi="Arial" w:cs="Arial"/>
                <w:bCs/>
                <w:color w:val="000000"/>
                <w:sz w:val="20"/>
                <w:szCs w:val="20"/>
                <w:lang w:val="es-MX" w:eastAsia="es-MX"/>
              </w:rPr>
            </w:pPr>
            <w:r w:rsidRPr="00DB1107">
              <w:rPr>
                <w:rFonts w:ascii="Arial" w:hAnsi="Arial" w:cs="Arial"/>
                <w:bCs/>
                <w:color w:val="000000"/>
                <w:sz w:val="20"/>
                <w:szCs w:val="20"/>
                <w:lang w:val="es-MX" w:eastAsia="es-MX"/>
              </w:rPr>
              <w:t xml:space="preserve">54 artículos de papelería descritos en el </w:t>
            </w:r>
            <w:r w:rsidRPr="00DB1107">
              <w:rPr>
                <w:rFonts w:ascii="Arial" w:hAnsi="Arial" w:cs="Arial"/>
                <w:b/>
                <w:bCs/>
                <w:color w:val="000000"/>
                <w:sz w:val="20"/>
                <w:szCs w:val="20"/>
                <w:u w:val="single"/>
                <w:lang w:val="es-MX" w:eastAsia="es-MX"/>
              </w:rPr>
              <w:t>ANEXO 1 Especificaciones Técnicas</w:t>
            </w:r>
          </w:p>
        </w:tc>
        <w:tc>
          <w:tcPr>
            <w:tcW w:w="2104" w:type="dxa"/>
            <w:shd w:val="clear" w:color="auto" w:fill="auto"/>
            <w:vAlign w:val="center"/>
          </w:tcPr>
          <w:p w14:paraId="4B335D2E" w14:textId="6E077ACF" w:rsidR="00715F44" w:rsidRPr="00DB1107" w:rsidRDefault="00715F44" w:rsidP="008D205D">
            <w:pPr>
              <w:jc w:val="center"/>
              <w:rPr>
                <w:rFonts w:ascii="Arial" w:hAnsi="Arial" w:cs="Arial"/>
                <w:bCs/>
                <w:color w:val="000000"/>
                <w:sz w:val="20"/>
                <w:szCs w:val="20"/>
                <w:lang w:val="es-MX" w:eastAsia="es-MX"/>
              </w:rPr>
            </w:pPr>
            <w:r w:rsidRPr="00DB1107">
              <w:rPr>
                <w:rFonts w:ascii="Arial" w:hAnsi="Arial" w:cs="Arial"/>
                <w:bCs/>
                <w:color w:val="000000"/>
                <w:sz w:val="20"/>
                <w:szCs w:val="20"/>
                <w:lang w:val="es-MX" w:eastAsia="es-MX"/>
              </w:rPr>
              <w:t>Se acordará con el proveedor que resulte adjudicado.</w:t>
            </w:r>
          </w:p>
        </w:tc>
        <w:tc>
          <w:tcPr>
            <w:tcW w:w="2419" w:type="dxa"/>
            <w:shd w:val="clear" w:color="auto" w:fill="auto"/>
            <w:vAlign w:val="center"/>
          </w:tcPr>
          <w:p w14:paraId="0C8A8B00" w14:textId="4F2BF2AE" w:rsidR="00715F44" w:rsidRPr="00DB1107" w:rsidRDefault="00715F44" w:rsidP="00715F44">
            <w:pPr>
              <w:jc w:val="center"/>
              <w:rPr>
                <w:rFonts w:ascii="Arial" w:hAnsi="Arial" w:cs="Arial"/>
                <w:b/>
                <w:sz w:val="20"/>
                <w:szCs w:val="20"/>
              </w:rPr>
            </w:pPr>
            <w:r w:rsidRPr="00DB1107">
              <w:rPr>
                <w:rFonts w:ascii="Arial" w:hAnsi="Arial" w:cs="Arial"/>
                <w:bCs/>
                <w:color w:val="000000"/>
                <w:sz w:val="20"/>
                <w:szCs w:val="20"/>
                <w:lang w:val="es-MX" w:eastAsia="es-MX"/>
              </w:rPr>
              <w:t>Toda la partida será adjudicada a un solo licitante.</w:t>
            </w:r>
          </w:p>
        </w:tc>
      </w:tr>
    </w:tbl>
    <w:p w14:paraId="5E4A0AF2" w14:textId="77777777" w:rsidR="008F6421" w:rsidRPr="001F5578" w:rsidRDefault="008F6421" w:rsidP="001F5578">
      <w:pPr>
        <w:jc w:val="both"/>
        <w:rPr>
          <w:rFonts w:ascii="Arial" w:hAnsi="Arial" w:cs="Arial"/>
          <w:b/>
          <w:highlight w:val="cyan"/>
        </w:rPr>
      </w:pP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59C78155"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3FCC6BDE" w:rsidR="00B55DC6" w:rsidRPr="00190C3C" w:rsidRDefault="00B55DC6" w:rsidP="00DB1107">
            <w:pPr>
              <w:jc w:val="both"/>
              <w:rPr>
                <w:rFonts w:ascii="Arial" w:hAnsi="Arial" w:cs="Arial"/>
                <w:sz w:val="20"/>
                <w:szCs w:val="20"/>
              </w:rPr>
            </w:pPr>
            <w:r w:rsidRPr="00190C3C">
              <w:rPr>
                <w:rFonts w:ascii="Arial" w:hAnsi="Arial" w:cs="Arial"/>
                <w:sz w:val="20"/>
                <w:szCs w:val="20"/>
              </w:rPr>
              <w:t xml:space="preserve">A más tardar a las 15:00 horas del día </w:t>
            </w:r>
            <w:r w:rsidR="00DB1107">
              <w:rPr>
                <w:rFonts w:ascii="Arial" w:hAnsi="Arial" w:cs="Arial"/>
                <w:sz w:val="20"/>
                <w:szCs w:val="20"/>
              </w:rPr>
              <w:t>martes 03</w:t>
            </w:r>
            <w:r w:rsidR="00071B78" w:rsidRPr="00190C3C">
              <w:rPr>
                <w:rFonts w:ascii="Arial" w:hAnsi="Arial" w:cs="Arial"/>
                <w:sz w:val="20"/>
                <w:szCs w:val="20"/>
              </w:rPr>
              <w:t xml:space="preserve"> de </w:t>
            </w:r>
            <w:r w:rsidR="002C724D">
              <w:rPr>
                <w:rFonts w:ascii="Arial" w:hAnsi="Arial" w:cs="Arial"/>
                <w:sz w:val="20"/>
                <w:szCs w:val="20"/>
              </w:rPr>
              <w:t>jul</w:t>
            </w:r>
            <w:r w:rsidR="00F86B16" w:rsidRPr="00190C3C">
              <w:rPr>
                <w:rFonts w:ascii="Arial" w:hAnsi="Arial" w:cs="Arial"/>
                <w:sz w:val="20"/>
                <w:szCs w:val="20"/>
              </w:rPr>
              <w:t xml:space="preserve">io </w:t>
            </w:r>
            <w:r w:rsidRPr="00190C3C">
              <w:rPr>
                <w:rFonts w:ascii="Arial" w:hAnsi="Arial" w:cs="Arial"/>
                <w:sz w:val="20"/>
                <w:szCs w:val="20"/>
              </w:rPr>
              <w:t xml:space="preserve">de 2018, enviarlas al correo </w:t>
            </w:r>
            <w:hyperlink r:id="rId8" w:history="1">
              <w:r w:rsidRPr="00190C3C">
                <w:rPr>
                  <w:rStyle w:val="Hipervnculo"/>
                  <w:rFonts w:ascii="Arial" w:hAnsi="Arial" w:cs="Arial"/>
                  <w:sz w:val="20"/>
                  <w:szCs w:val="20"/>
                </w:rPr>
                <w:t>proveedores@asej.gob.mx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0BBFBB9B" w:rsidR="00B55DC6" w:rsidRPr="00190C3C" w:rsidRDefault="00DB1107" w:rsidP="00E5326C">
            <w:pPr>
              <w:jc w:val="both"/>
              <w:rPr>
                <w:rFonts w:ascii="Arial" w:hAnsi="Arial" w:cs="Arial"/>
                <w:sz w:val="20"/>
                <w:szCs w:val="20"/>
              </w:rPr>
            </w:pPr>
            <w:r>
              <w:rPr>
                <w:rFonts w:ascii="Arial" w:hAnsi="Arial" w:cs="Arial"/>
                <w:sz w:val="20"/>
                <w:szCs w:val="20"/>
              </w:rPr>
              <w:t xml:space="preserve">Jueves 05 </w:t>
            </w:r>
            <w:r w:rsidR="00B55DC6" w:rsidRPr="00190C3C">
              <w:rPr>
                <w:rFonts w:ascii="Arial" w:hAnsi="Arial" w:cs="Arial"/>
                <w:sz w:val="20"/>
                <w:szCs w:val="20"/>
              </w:rPr>
              <w:t xml:space="preserve">de </w:t>
            </w:r>
            <w:r w:rsidR="00E5326C" w:rsidRPr="00190C3C">
              <w:rPr>
                <w:rFonts w:ascii="Arial" w:hAnsi="Arial" w:cs="Arial"/>
                <w:sz w:val="20"/>
                <w:szCs w:val="20"/>
              </w:rPr>
              <w:t xml:space="preserve">julio </w:t>
            </w:r>
            <w:r w:rsidR="00B55DC6" w:rsidRPr="00190C3C">
              <w:rPr>
                <w:rFonts w:ascii="Arial" w:hAnsi="Arial" w:cs="Arial"/>
                <w:sz w:val="20"/>
                <w:szCs w:val="20"/>
              </w:rPr>
              <w:t>de 2018 a las 12:00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57810F2F" w:rsidR="00B55DC6" w:rsidRPr="00190C3C" w:rsidRDefault="00DB1107" w:rsidP="00E5326C">
            <w:pPr>
              <w:jc w:val="both"/>
              <w:rPr>
                <w:rFonts w:ascii="Arial" w:hAnsi="Arial" w:cs="Arial"/>
                <w:sz w:val="20"/>
                <w:szCs w:val="20"/>
              </w:rPr>
            </w:pPr>
            <w:r>
              <w:rPr>
                <w:rFonts w:ascii="Arial" w:hAnsi="Arial" w:cs="Arial"/>
                <w:sz w:val="20"/>
                <w:szCs w:val="20"/>
              </w:rPr>
              <w:t>Jueves 12</w:t>
            </w:r>
            <w:r w:rsidR="00E5326C" w:rsidRPr="00190C3C">
              <w:rPr>
                <w:rFonts w:ascii="Arial" w:hAnsi="Arial" w:cs="Arial"/>
                <w:sz w:val="20"/>
                <w:szCs w:val="20"/>
              </w:rPr>
              <w:t xml:space="preserve"> de julio</w:t>
            </w:r>
            <w:r w:rsidR="00FF2528" w:rsidRPr="00190C3C">
              <w:rPr>
                <w:rFonts w:ascii="Arial" w:hAnsi="Arial" w:cs="Arial"/>
                <w:sz w:val="20"/>
                <w:szCs w:val="20"/>
              </w:rPr>
              <w:t xml:space="preserve"> de 2018 a las 12:00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6B047BFF" w14:textId="01171D1B" w:rsidR="00654FC4" w:rsidRPr="00654FC4" w:rsidRDefault="00385A16" w:rsidP="00654FC4">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406D0740" w:rsidR="0044664A" w:rsidRPr="00654FC4" w:rsidRDefault="0044664A" w:rsidP="00654FC4">
      <w:pPr>
        <w:pStyle w:val="Prrafodelista"/>
        <w:numPr>
          <w:ilvl w:val="1"/>
          <w:numId w:val="27"/>
        </w:numPr>
        <w:jc w:val="both"/>
        <w:rPr>
          <w:rFonts w:ascii="Arial" w:hAnsi="Arial" w:cs="Arial"/>
          <w:b/>
        </w:rPr>
      </w:pPr>
      <w:r w:rsidRPr="00654FC4">
        <w:rPr>
          <w:rFonts w:ascii="Arial" w:hAnsi="Arial" w:cs="Arial"/>
          <w:b/>
        </w:rPr>
        <w:t xml:space="preserve">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2BA5CEA8" w:rsidR="00BE11C3" w:rsidRPr="00654FC4" w:rsidRDefault="00654FC4" w:rsidP="00654FC4">
      <w:pPr>
        <w:pStyle w:val="Prrafodelista"/>
        <w:numPr>
          <w:ilvl w:val="1"/>
          <w:numId w:val="27"/>
        </w:numPr>
        <w:jc w:val="both"/>
        <w:rPr>
          <w:rFonts w:ascii="Arial" w:hAnsi="Arial" w:cs="Arial"/>
          <w:b/>
        </w:rPr>
      </w:pPr>
      <w:r>
        <w:rPr>
          <w:rFonts w:ascii="Arial" w:hAnsi="Arial" w:cs="Arial"/>
          <w:b/>
        </w:rPr>
        <w:t xml:space="preserve"> </w:t>
      </w:r>
      <w:r w:rsidR="0044664A" w:rsidRPr="00654FC4">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5ED41160"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costos. Apercibidos los licitantes </w:t>
      </w:r>
      <w:proofErr w:type="gramStart"/>
      <w:r w:rsidRPr="00BE11C3">
        <w:rPr>
          <w:rFonts w:ascii="Arial" w:hAnsi="Arial" w:cs="Arial"/>
        </w:rPr>
        <w:t>que</w:t>
      </w:r>
      <w:proofErr w:type="gramEnd"/>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A656F2B" w:rsidR="008031DB" w:rsidRPr="001F5578" w:rsidRDefault="008031DB" w:rsidP="001F5578">
      <w:pPr>
        <w:jc w:val="both"/>
        <w:rPr>
          <w:rFonts w:ascii="Arial" w:hAnsi="Arial" w:cs="Arial"/>
          <w:highlight w:val="cyan"/>
        </w:rPr>
      </w:pPr>
      <w:r w:rsidRPr="001F5578">
        <w:rPr>
          <w:rFonts w:ascii="Arial" w:hAnsi="Arial" w:cs="Arial"/>
        </w:rPr>
        <w:t>Dentro de la propuesta Técnica deberán acompañarse los documentos descritos en el punto 7 de las bases de esta licitación.</w:t>
      </w:r>
    </w:p>
    <w:p w14:paraId="154FD8DE" w14:textId="77777777" w:rsidR="0044664A" w:rsidRPr="001F5578" w:rsidRDefault="0044664A" w:rsidP="001F5578">
      <w:pPr>
        <w:jc w:val="both"/>
        <w:rPr>
          <w:rFonts w:ascii="Arial" w:hAnsi="Arial" w:cs="Arial"/>
          <w:highlight w:val="cyan"/>
        </w:rPr>
      </w:pPr>
    </w:p>
    <w:p w14:paraId="5968506F" w14:textId="2C4351B4" w:rsidR="000A19F1" w:rsidRPr="001F5578" w:rsidRDefault="00654FC4" w:rsidP="001F5578">
      <w:pPr>
        <w:jc w:val="both"/>
        <w:rPr>
          <w:rFonts w:ascii="Arial" w:hAnsi="Arial" w:cs="Arial"/>
          <w:b/>
        </w:rPr>
      </w:pPr>
      <w:r>
        <w:rPr>
          <w:rFonts w:ascii="Arial" w:hAnsi="Arial" w:cs="Arial"/>
          <w:b/>
        </w:rPr>
        <w:t>8</w:t>
      </w:r>
      <w:r w:rsidR="000A19F1" w:rsidRPr="001F5578">
        <w:rPr>
          <w:rFonts w:ascii="Arial" w:hAnsi="Arial" w:cs="Arial"/>
          <w:b/>
        </w:rPr>
        <w:t>.3</w:t>
      </w:r>
      <w:r w:rsidR="002858C0" w:rsidRPr="001F5578">
        <w:rPr>
          <w:rFonts w:ascii="Arial" w:hAnsi="Arial" w:cs="Arial"/>
          <w:b/>
        </w:rPr>
        <w:t>.</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lastRenderedPageBreak/>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02E9AA5D" w:rsidR="00894384" w:rsidRPr="001F5578" w:rsidRDefault="00894384" w:rsidP="001F5578">
      <w:pPr>
        <w:jc w:val="both"/>
        <w:rPr>
          <w:rFonts w:ascii="Arial" w:hAnsi="Arial" w:cs="Arial"/>
        </w:rPr>
      </w:pPr>
      <w:r w:rsidRPr="001F5578">
        <w:rPr>
          <w:rFonts w:ascii="Arial" w:hAnsi="Arial" w:cs="Arial"/>
        </w:rPr>
        <w:t>Los interesados en participar deberán presenta</w:t>
      </w:r>
      <w:bookmarkStart w:id="0" w:name="_GoBack"/>
      <w:bookmarkEnd w:id="0"/>
      <w:r w:rsidRPr="001F5578">
        <w:rPr>
          <w:rFonts w:ascii="Arial" w:hAnsi="Arial" w:cs="Arial"/>
        </w:rPr>
        <w:t>r sin tachaduras ni enmendaduras, en idioma español, en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6DB77D61" w:rsidR="00E921D8" w:rsidRPr="001F5578" w:rsidRDefault="002C724D" w:rsidP="001F5578">
      <w:pPr>
        <w:pStyle w:val="Prrafodelista"/>
        <w:numPr>
          <w:ilvl w:val="0"/>
          <w:numId w:val="14"/>
        </w:numPr>
        <w:jc w:val="both"/>
        <w:rPr>
          <w:rFonts w:ascii="Arial" w:hAnsi="Arial" w:cs="Arial"/>
        </w:rPr>
      </w:pPr>
      <w:r>
        <w:rPr>
          <w:rFonts w:ascii="Arial" w:hAnsi="Arial" w:cs="Arial"/>
        </w:rPr>
        <w:t>C</w:t>
      </w:r>
      <w:r w:rsidR="00E921D8"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00E921D8"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p>
    <w:p w14:paraId="29C3BE24" w14:textId="073D5DCF"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Comprobante de domicilio vigente, copia simple. </w:t>
      </w:r>
    </w:p>
    <w:p w14:paraId="6DD2A83C" w14:textId="56962DB0"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r w:rsidR="004030F4" w:rsidRPr="004030F4">
        <w:rPr>
          <w:rFonts w:ascii="Arial" w:hAnsi="Arial" w:cs="Arial"/>
        </w:rPr>
        <w:t xml:space="preserve"> </w:t>
      </w:r>
      <w:r w:rsidR="004030F4">
        <w:rPr>
          <w:rFonts w:ascii="Arial" w:hAnsi="Arial" w:cs="Arial"/>
        </w:rPr>
        <w:t>(Cuadro contenido en el p</w:t>
      </w:r>
      <w:r w:rsidR="004030F4" w:rsidRPr="004030F4">
        <w:rPr>
          <w:rFonts w:ascii="Arial" w:hAnsi="Arial" w:cs="Arial"/>
        </w:rPr>
        <w:t xml:space="preserve">unto 2. DESCRIPCIÓN DE LOS </w:t>
      </w:r>
      <w:r w:rsidR="004030F4">
        <w:rPr>
          <w:rFonts w:ascii="Arial" w:hAnsi="Arial" w:cs="Arial"/>
        </w:rPr>
        <w:t>BIENES Y/O SERVICIOS A ADQUIRIR).</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lastRenderedPageBreak/>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lastRenderedPageBreak/>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lastRenderedPageBreak/>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72641" w14:textId="77777777" w:rsidR="00403E78" w:rsidRDefault="00403E78">
      <w:r>
        <w:separator/>
      </w:r>
    </w:p>
  </w:endnote>
  <w:endnote w:type="continuationSeparator" w:id="0">
    <w:p w14:paraId="2531411F" w14:textId="77777777" w:rsidR="00403E78" w:rsidRDefault="0040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70F528CF"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LP-SC-00</w:t>
    </w:r>
    <w:r w:rsidR="00B20006">
      <w:rPr>
        <w:rFonts w:ascii="Arial" w:hAnsi="Arial" w:cs="Arial"/>
        <w:sz w:val="16"/>
        <w:szCs w:val="16"/>
      </w:rPr>
      <w:t>8</w:t>
    </w:r>
    <w:r w:rsidR="001F5578" w:rsidRPr="00556721">
      <w:rPr>
        <w:rFonts w:ascii="Arial" w:hAnsi="Arial" w:cs="Arial"/>
        <w:sz w:val="16"/>
        <w:szCs w:val="16"/>
      </w:rPr>
      <w:t>-2018 “</w:t>
    </w:r>
    <w:r w:rsidR="00B20006">
      <w:rPr>
        <w:rFonts w:ascii="Arial" w:hAnsi="Arial" w:cs="Arial"/>
        <w:sz w:val="16"/>
        <w:szCs w:val="16"/>
      </w:rPr>
      <w:t>Adquisición de artículos de papelería</w:t>
    </w:r>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3454BD">
          <w:rPr>
            <w:rFonts w:ascii="Arial" w:hAnsi="Arial" w:cs="Arial"/>
            <w:noProof/>
            <w:sz w:val="16"/>
            <w:szCs w:val="16"/>
          </w:rPr>
          <w:t>5</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574859">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1A977" w14:textId="77777777" w:rsidR="00403E78" w:rsidRDefault="00403E78">
      <w:r>
        <w:separator/>
      </w:r>
    </w:p>
  </w:footnote>
  <w:footnote w:type="continuationSeparator" w:id="0">
    <w:p w14:paraId="10ADF9FD" w14:textId="77777777" w:rsidR="00403E78" w:rsidRDefault="0040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3"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30"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31"/>
  </w:num>
  <w:num w:numId="4">
    <w:abstractNumId w:val="3"/>
  </w:num>
  <w:num w:numId="5">
    <w:abstractNumId w:val="15"/>
  </w:num>
  <w:num w:numId="6">
    <w:abstractNumId w:val="25"/>
  </w:num>
  <w:num w:numId="7">
    <w:abstractNumId w:val="1"/>
  </w:num>
  <w:num w:numId="8">
    <w:abstractNumId w:val="28"/>
  </w:num>
  <w:num w:numId="9">
    <w:abstractNumId w:val="12"/>
  </w:num>
  <w:num w:numId="10">
    <w:abstractNumId w:val="19"/>
  </w:num>
  <w:num w:numId="11">
    <w:abstractNumId w:val="24"/>
  </w:num>
  <w:num w:numId="12">
    <w:abstractNumId w:val="8"/>
  </w:num>
  <w:num w:numId="13">
    <w:abstractNumId w:val="22"/>
  </w:num>
  <w:num w:numId="14">
    <w:abstractNumId w:val="10"/>
  </w:num>
  <w:num w:numId="15">
    <w:abstractNumId w:val="23"/>
  </w:num>
  <w:num w:numId="16">
    <w:abstractNumId w:val="27"/>
  </w:num>
  <w:num w:numId="17">
    <w:abstractNumId w:val="26"/>
  </w:num>
  <w:num w:numId="18">
    <w:abstractNumId w:val="2"/>
  </w:num>
  <w:num w:numId="19">
    <w:abstractNumId w:val="9"/>
  </w:num>
  <w:num w:numId="20">
    <w:abstractNumId w:val="4"/>
  </w:num>
  <w:num w:numId="21">
    <w:abstractNumId w:val="17"/>
  </w:num>
  <w:num w:numId="22">
    <w:abstractNumId w:val="29"/>
  </w:num>
  <w:num w:numId="23">
    <w:abstractNumId w:val="21"/>
  </w:num>
  <w:num w:numId="24">
    <w:abstractNumId w:val="18"/>
  </w:num>
  <w:num w:numId="25">
    <w:abstractNumId w:val="6"/>
  </w:num>
  <w:num w:numId="26">
    <w:abstractNumId w:val="30"/>
  </w:num>
  <w:num w:numId="27">
    <w:abstractNumId w:val="11"/>
  </w:num>
  <w:num w:numId="28">
    <w:abstractNumId w:val="16"/>
  </w:num>
  <w:num w:numId="29">
    <w:abstractNumId w:val="7"/>
  </w:num>
  <w:num w:numId="30">
    <w:abstractNumId w:val="20"/>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3385"/>
    <w:rsid w:val="00055F10"/>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D7962"/>
    <w:rsid w:val="000E621B"/>
    <w:rsid w:val="000F0212"/>
    <w:rsid w:val="0010176F"/>
    <w:rsid w:val="001239A8"/>
    <w:rsid w:val="00135360"/>
    <w:rsid w:val="00146047"/>
    <w:rsid w:val="00146A3C"/>
    <w:rsid w:val="001504AC"/>
    <w:rsid w:val="00190C3C"/>
    <w:rsid w:val="00194BCB"/>
    <w:rsid w:val="0019786B"/>
    <w:rsid w:val="001A636B"/>
    <w:rsid w:val="001D22B6"/>
    <w:rsid w:val="001D7ED2"/>
    <w:rsid w:val="001E0CD8"/>
    <w:rsid w:val="001E239B"/>
    <w:rsid w:val="001F1872"/>
    <w:rsid w:val="001F1A55"/>
    <w:rsid w:val="001F5578"/>
    <w:rsid w:val="0021131D"/>
    <w:rsid w:val="00212FD3"/>
    <w:rsid w:val="00214BCC"/>
    <w:rsid w:val="00222319"/>
    <w:rsid w:val="00235FD3"/>
    <w:rsid w:val="00242559"/>
    <w:rsid w:val="00255E93"/>
    <w:rsid w:val="00281CBD"/>
    <w:rsid w:val="002858C0"/>
    <w:rsid w:val="00287C6F"/>
    <w:rsid w:val="002B0DCD"/>
    <w:rsid w:val="002B3D73"/>
    <w:rsid w:val="002C6380"/>
    <w:rsid w:val="002C724D"/>
    <w:rsid w:val="002C73CC"/>
    <w:rsid w:val="002D1EBF"/>
    <w:rsid w:val="002E2CE2"/>
    <w:rsid w:val="002E72B3"/>
    <w:rsid w:val="002F15C4"/>
    <w:rsid w:val="0030223D"/>
    <w:rsid w:val="0032345A"/>
    <w:rsid w:val="00330E90"/>
    <w:rsid w:val="00331945"/>
    <w:rsid w:val="00334899"/>
    <w:rsid w:val="00336559"/>
    <w:rsid w:val="00337072"/>
    <w:rsid w:val="003403A2"/>
    <w:rsid w:val="003416CA"/>
    <w:rsid w:val="003419CE"/>
    <w:rsid w:val="003454BD"/>
    <w:rsid w:val="0035172F"/>
    <w:rsid w:val="0036776D"/>
    <w:rsid w:val="0037059C"/>
    <w:rsid w:val="003741D4"/>
    <w:rsid w:val="00380002"/>
    <w:rsid w:val="00385A16"/>
    <w:rsid w:val="003942D1"/>
    <w:rsid w:val="003A0A69"/>
    <w:rsid w:val="003A79FF"/>
    <w:rsid w:val="003B022B"/>
    <w:rsid w:val="003B2E2E"/>
    <w:rsid w:val="003B69F3"/>
    <w:rsid w:val="003C477E"/>
    <w:rsid w:val="003D1E76"/>
    <w:rsid w:val="003D7D20"/>
    <w:rsid w:val="003E6771"/>
    <w:rsid w:val="00401D9B"/>
    <w:rsid w:val="004030F4"/>
    <w:rsid w:val="00403E78"/>
    <w:rsid w:val="0042359A"/>
    <w:rsid w:val="00424635"/>
    <w:rsid w:val="004310AD"/>
    <w:rsid w:val="00432A1B"/>
    <w:rsid w:val="00436D5C"/>
    <w:rsid w:val="004400F7"/>
    <w:rsid w:val="0044407A"/>
    <w:rsid w:val="0044664A"/>
    <w:rsid w:val="00447AC2"/>
    <w:rsid w:val="00450F5D"/>
    <w:rsid w:val="00457F19"/>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651E"/>
    <w:rsid w:val="00533242"/>
    <w:rsid w:val="00551C3E"/>
    <w:rsid w:val="00556721"/>
    <w:rsid w:val="00562C8D"/>
    <w:rsid w:val="005704E3"/>
    <w:rsid w:val="005731F6"/>
    <w:rsid w:val="00574859"/>
    <w:rsid w:val="005776EB"/>
    <w:rsid w:val="00591332"/>
    <w:rsid w:val="005B1148"/>
    <w:rsid w:val="005C0AC0"/>
    <w:rsid w:val="005C6FF9"/>
    <w:rsid w:val="005D5E65"/>
    <w:rsid w:val="005E0156"/>
    <w:rsid w:val="005E615C"/>
    <w:rsid w:val="005E7043"/>
    <w:rsid w:val="005F3475"/>
    <w:rsid w:val="00640951"/>
    <w:rsid w:val="0064577B"/>
    <w:rsid w:val="006457E0"/>
    <w:rsid w:val="006500C3"/>
    <w:rsid w:val="00650155"/>
    <w:rsid w:val="00653AC9"/>
    <w:rsid w:val="00654FC4"/>
    <w:rsid w:val="00655729"/>
    <w:rsid w:val="00677393"/>
    <w:rsid w:val="006928DF"/>
    <w:rsid w:val="006A4E74"/>
    <w:rsid w:val="006C0A45"/>
    <w:rsid w:val="006C3B68"/>
    <w:rsid w:val="006C5822"/>
    <w:rsid w:val="006D1B2A"/>
    <w:rsid w:val="006D6D8F"/>
    <w:rsid w:val="006E094D"/>
    <w:rsid w:val="006F4B2C"/>
    <w:rsid w:val="00701EFC"/>
    <w:rsid w:val="00705A3D"/>
    <w:rsid w:val="0071299B"/>
    <w:rsid w:val="00715F44"/>
    <w:rsid w:val="00716143"/>
    <w:rsid w:val="007224B0"/>
    <w:rsid w:val="00733FCB"/>
    <w:rsid w:val="007410CB"/>
    <w:rsid w:val="007450BA"/>
    <w:rsid w:val="007513A6"/>
    <w:rsid w:val="00753202"/>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2C43"/>
    <w:rsid w:val="008031DB"/>
    <w:rsid w:val="0080786C"/>
    <w:rsid w:val="00815518"/>
    <w:rsid w:val="00820B22"/>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39B7"/>
    <w:rsid w:val="008B5AA1"/>
    <w:rsid w:val="008C3F27"/>
    <w:rsid w:val="008D205D"/>
    <w:rsid w:val="008E00F6"/>
    <w:rsid w:val="008E332F"/>
    <w:rsid w:val="008F6421"/>
    <w:rsid w:val="0091050C"/>
    <w:rsid w:val="009362A5"/>
    <w:rsid w:val="00942B88"/>
    <w:rsid w:val="00945537"/>
    <w:rsid w:val="009513D9"/>
    <w:rsid w:val="00955CE0"/>
    <w:rsid w:val="00961B6B"/>
    <w:rsid w:val="00983740"/>
    <w:rsid w:val="00983A21"/>
    <w:rsid w:val="0098602A"/>
    <w:rsid w:val="009A3C8E"/>
    <w:rsid w:val="009B1A5E"/>
    <w:rsid w:val="009C14C0"/>
    <w:rsid w:val="009C41A0"/>
    <w:rsid w:val="009D5C7E"/>
    <w:rsid w:val="009E3035"/>
    <w:rsid w:val="009E3287"/>
    <w:rsid w:val="00A01870"/>
    <w:rsid w:val="00A10C5E"/>
    <w:rsid w:val="00A150C5"/>
    <w:rsid w:val="00A169AD"/>
    <w:rsid w:val="00A20B10"/>
    <w:rsid w:val="00A32046"/>
    <w:rsid w:val="00A41F82"/>
    <w:rsid w:val="00A42E26"/>
    <w:rsid w:val="00A5204B"/>
    <w:rsid w:val="00A635B8"/>
    <w:rsid w:val="00A7114F"/>
    <w:rsid w:val="00A773BF"/>
    <w:rsid w:val="00A901B5"/>
    <w:rsid w:val="00A9418C"/>
    <w:rsid w:val="00AA04B3"/>
    <w:rsid w:val="00AA6958"/>
    <w:rsid w:val="00AC5DF5"/>
    <w:rsid w:val="00AC6218"/>
    <w:rsid w:val="00AD6F98"/>
    <w:rsid w:val="00AE0450"/>
    <w:rsid w:val="00AE5D14"/>
    <w:rsid w:val="00AF56C4"/>
    <w:rsid w:val="00B05790"/>
    <w:rsid w:val="00B07BEC"/>
    <w:rsid w:val="00B14FE5"/>
    <w:rsid w:val="00B20006"/>
    <w:rsid w:val="00B22025"/>
    <w:rsid w:val="00B24BE3"/>
    <w:rsid w:val="00B40935"/>
    <w:rsid w:val="00B5157C"/>
    <w:rsid w:val="00B51D24"/>
    <w:rsid w:val="00B54B76"/>
    <w:rsid w:val="00B55DC6"/>
    <w:rsid w:val="00B752EE"/>
    <w:rsid w:val="00B834DF"/>
    <w:rsid w:val="00BA471D"/>
    <w:rsid w:val="00BA7A96"/>
    <w:rsid w:val="00BB2F09"/>
    <w:rsid w:val="00BC21B8"/>
    <w:rsid w:val="00BC3B36"/>
    <w:rsid w:val="00BD083B"/>
    <w:rsid w:val="00BD18AB"/>
    <w:rsid w:val="00BD252F"/>
    <w:rsid w:val="00BE11C3"/>
    <w:rsid w:val="00BE3FFD"/>
    <w:rsid w:val="00BE5F55"/>
    <w:rsid w:val="00BF3161"/>
    <w:rsid w:val="00C05EC7"/>
    <w:rsid w:val="00C1160E"/>
    <w:rsid w:val="00C2642A"/>
    <w:rsid w:val="00C31B9F"/>
    <w:rsid w:val="00C34AF9"/>
    <w:rsid w:val="00C42275"/>
    <w:rsid w:val="00C42862"/>
    <w:rsid w:val="00C42DB9"/>
    <w:rsid w:val="00C56C03"/>
    <w:rsid w:val="00C662C9"/>
    <w:rsid w:val="00C66CC8"/>
    <w:rsid w:val="00C77739"/>
    <w:rsid w:val="00CB0000"/>
    <w:rsid w:val="00CB6497"/>
    <w:rsid w:val="00CC3331"/>
    <w:rsid w:val="00CF174A"/>
    <w:rsid w:val="00D03FE3"/>
    <w:rsid w:val="00D06F24"/>
    <w:rsid w:val="00D25EFE"/>
    <w:rsid w:val="00D36C4A"/>
    <w:rsid w:val="00D6200F"/>
    <w:rsid w:val="00D650B1"/>
    <w:rsid w:val="00D66697"/>
    <w:rsid w:val="00D700AD"/>
    <w:rsid w:val="00D70C10"/>
    <w:rsid w:val="00D74063"/>
    <w:rsid w:val="00D82B8F"/>
    <w:rsid w:val="00D91A19"/>
    <w:rsid w:val="00D94F68"/>
    <w:rsid w:val="00DB1107"/>
    <w:rsid w:val="00DD45E3"/>
    <w:rsid w:val="00DE2E42"/>
    <w:rsid w:val="00DE43F5"/>
    <w:rsid w:val="00E02571"/>
    <w:rsid w:val="00E02F4D"/>
    <w:rsid w:val="00E12678"/>
    <w:rsid w:val="00E2418A"/>
    <w:rsid w:val="00E4098C"/>
    <w:rsid w:val="00E42FFD"/>
    <w:rsid w:val="00E4487C"/>
    <w:rsid w:val="00E4595B"/>
    <w:rsid w:val="00E5326C"/>
    <w:rsid w:val="00E57564"/>
    <w:rsid w:val="00E603F7"/>
    <w:rsid w:val="00E70B3D"/>
    <w:rsid w:val="00E766F8"/>
    <w:rsid w:val="00E86984"/>
    <w:rsid w:val="00E921D8"/>
    <w:rsid w:val="00E9663B"/>
    <w:rsid w:val="00EA013D"/>
    <w:rsid w:val="00EA74CB"/>
    <w:rsid w:val="00EB6F70"/>
    <w:rsid w:val="00ED66C1"/>
    <w:rsid w:val="00EE0D35"/>
    <w:rsid w:val="00EE10BE"/>
    <w:rsid w:val="00EF5F0B"/>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812DE"/>
    <w:rsid w:val="00F84FC4"/>
    <w:rsid w:val="00F86B16"/>
    <w:rsid w:val="00F94FCA"/>
    <w:rsid w:val="00FA1EFD"/>
    <w:rsid w:val="00FA4D69"/>
    <w:rsid w:val="00FA7C99"/>
    <w:rsid w:val="00FB162D"/>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FCCF-18AD-4E92-AB1C-75C56874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2818</Words>
  <Characters>15500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Cortes Radall</cp:lastModifiedBy>
  <cp:revision>30</cp:revision>
  <cp:lastPrinted>2018-03-22T19:02:00Z</cp:lastPrinted>
  <dcterms:created xsi:type="dcterms:W3CDTF">2018-06-19T14:53:00Z</dcterms:created>
  <dcterms:modified xsi:type="dcterms:W3CDTF">2018-07-02T14:38:00Z</dcterms:modified>
</cp:coreProperties>
</file>